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Paul Stunkel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1091 Burns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Detroit, mi 48214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stunkelpaul3@att.net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224-489-8810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June 8,2023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Historic District Commission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 Woodward Ave, Suite 808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Detroit, MI 48226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Subject: Support for Proposed Project at 2108 Burns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the Historic District Commission of Detroit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 am a resident of Detroit and live at 1091 Burns  in the Indian Village neighborhood. I am writing in support of the home project at 2108 Burns Ave. Having lived in Indian Village for 10 years I appreciate the need to up-date our properties, while keeping the historic feel. I believe that the proposed design will  improve our community and will not detract one bit from the historic environment that we know and love.  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 wholeheartedly support this project and urge you to approve the design. For any further questions or support, please do not hesitate to reach out.</w:t>
      </w:r>
    </w:p>
    <w:p>
      <w:pPr>
        <w:spacing w:before="0" w:after="0" w:line="276"/>
        <w:ind w:right="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Thank you so much,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Paul Stunkel</w:t>
      </w: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72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06629-6014-4C04-A98E-AD1A1D94E1A4}"/>
</file>

<file path=customXml/itemProps2.xml><?xml version="1.0" encoding="utf-8"?>
<ds:datastoreItem xmlns:ds="http://schemas.openxmlformats.org/officeDocument/2006/customXml" ds:itemID="{18112924-37C3-461D-995D-5A6496CCC174}"/>
</file>